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7DD316">
      <w:pPr>
        <w:shd w:val="clear" w:color="auto" w:fill="FFFFFF"/>
        <w:spacing w:after="150" w:line="240" w:lineRule="auto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Приказ Государственной службы по культуре Приднестровской Молдавской Республики</w:t>
      </w:r>
    </w:p>
    <w:p w14:paraId="523D076C">
      <w:pPr>
        <w:shd w:val="clear" w:color="auto" w:fill="FFFFFF"/>
        <w:spacing w:after="150" w:line="240" w:lineRule="auto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 утверждении минимальных социальных стандартов в области культуры Приднестровской Молдавской Республики</w:t>
      </w:r>
    </w:p>
    <w:p w14:paraId="58E586BE">
      <w:pPr>
        <w:shd w:val="clear" w:color="auto" w:fill="FFFFFF"/>
        <w:spacing w:after="150" w:line="240" w:lineRule="auto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Согласован:</w:t>
      </w:r>
    </w:p>
    <w:p w14:paraId="7B0A8DA4">
      <w:pPr>
        <w:shd w:val="clear" w:color="auto" w:fill="FFFFFF"/>
        <w:spacing w:after="150" w:line="240" w:lineRule="auto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Главы Государственных администраций городов и районов</w:t>
      </w:r>
    </w:p>
    <w:p w14:paraId="5C1C5B7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 основании Закона Приднестровской Молдавской Республики от 21 августа 2008 года № 535-З-IV «О культуре» (САЗ 08-33) с дополнением и изменениями, внесенными законами Приднестровской Молдавской Республики от 4 октября 2010 года № 183-ЗД-IV (САЗ 10-40), от 26 октября 2012 года № 21-ЗИ-V (САЗ 12-44), от 16 декабря 2013 года № 276-ЗД-V (САЗ 13-50) (в текущей редакции), Закона Приднестровской Молдавской Республики «О библиотечном деле» от 5 августа 2004 года № 461-З-III (САЗ 04-32), с изменениями и дополнениями, внесенными законами Приднестровской Молдавской Республики от 17 апреля 2008 года № 448-ЗИД-IV (САЗ 08-15), от 12 июня 2009 года № 778-ЗИД-IV (САЗ 09-24), от 26 октября 2012 года № 213-ЗИ-V (САЗ 12-44), от 30 декабря 2013 года № 295-ЗИД-V (САЗ 14-5), Закон Приднестровской Молдавской Республики «О Музейном фонде и музеях в Приднестровской Молдавской Республике» от 6 ноября 2001 года № 62-З-III (САЗ 01-46), с изменениями и дополнением, внесенными законами Приднестровской Молдавской Республики от 10 июля 2002 года № 152-ЗИД-III (САЗ 02-28), от 12 июня 2005 года № 223-ЗИД-IV (САЗ 07-25), от 29 июля 2008 года № 506-ЗИ-IV (САЗ 08-30), от 24 ноября 2011 года № 210-ЗИД-V (САЗ 11-47), от 26 октября 2012 года № 209-ЗИД-V (САЗ 12-44), от 15 февраля 2013 года № 43-ЗИ-V (САЗ 13-6), Закона Приднестровской Молдавской Республики от 8 декабря 2008 года № 616-З-IV «О театральной, цирковой и концертной деятельности в Приднестровской Молдавской Республике» (САЗ 08-49) с изменениями, внесенными Законом Приднестровской Молдавской Республики от 18 октября 2012 года № 201-ЗИ-V (САЗ 12-43), Указа Президента Приднестровской Молдавской Республики 23 июля 2013 года № 339 «Об утверждении системы и структуры исполнительных органов государственной власти Приднестровской Молдавской Республики» (САЗ 13-29) с изменениями и дополнениями, внесенными указами Президента Приднестровской Молдавской Республики от 27 сентября 2013 года № 447 (САЗ 13-38), от 28 октября 2013 года № 512 (САЗ 13-43), от 14 января 2014 года № 16 (САЗ 14-3), от 10 февраля 2014 года № 55 (САЗ 14-7), Постановления Правительства Приднестровской Молдавской Республики от 30 января 2014 года № 33 «Об утверждении Положения, структуры и предельной штатной численности Государственной службы по культуре Приднестровской Молдавской Республики» (САЗ 14-5), в целях реализации единой государственной политики в области культуры Приднестровской Молдавской Республики, упорядочения расходов республиканского и местных бюджетов и рационального использования государственных средств, прогнозируемых перспектив социокультурного и экономического развития Приднестровской Молдавской Республики, приказываю:</w:t>
      </w:r>
    </w:p>
    <w:p w14:paraId="1544397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455ECFC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Утвердить минимальные социальные стандарты в области культуры Приднестровской Молдавской Республики (прилагается).</w:t>
      </w:r>
    </w:p>
    <w:p w14:paraId="70E1837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775339D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51040B0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6E0D13A8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Контроль за исполнением настоящего Приказа оставляю за собой.</w:t>
      </w:r>
    </w:p>
    <w:p w14:paraId="7F2ABBF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70D27EF4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4.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Настоящий Приказ вступает в силу со дня, следующего за днем его официального опубликования.</w:t>
      </w:r>
    </w:p>
    <w:p w14:paraId="7919253C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55EA009D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Начальник                                                                                                  М. Кырмыз</w:t>
      </w:r>
    </w:p>
    <w:p w14:paraId="31016B30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46BA81E6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г. Тирасполь</w:t>
      </w:r>
    </w:p>
    <w:p w14:paraId="1F7EE66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23 октября 2014 г.</w:t>
      </w:r>
    </w:p>
    <w:p w14:paraId="6F90B43A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№ 123</w:t>
      </w:r>
    </w:p>
    <w:p w14:paraId="39BE5D2F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0CB776F0">
      <w:pPr>
        <w:shd w:val="clear" w:color="auto" w:fill="FFFFFF"/>
        <w:spacing w:after="0" w:line="240" w:lineRule="auto"/>
        <w:ind w:left="4608"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Приложение к Приказу</w:t>
      </w:r>
    </w:p>
    <w:p w14:paraId="0428AAB2">
      <w:pPr>
        <w:shd w:val="clear" w:color="auto" w:fill="FFFFFF"/>
        <w:spacing w:after="0" w:line="240" w:lineRule="auto"/>
        <w:ind w:left="4608"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Государственной службы по культуре</w:t>
      </w:r>
    </w:p>
    <w:p w14:paraId="11B29E44">
      <w:pPr>
        <w:shd w:val="clear" w:color="auto" w:fill="FFFFFF"/>
        <w:spacing w:after="0" w:line="240" w:lineRule="auto"/>
        <w:ind w:left="4608"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Приднестровской Молдавской Республики</w:t>
      </w:r>
    </w:p>
    <w:p w14:paraId="55DBE9DD">
      <w:pPr>
        <w:shd w:val="clear" w:color="auto" w:fill="FFFFFF"/>
        <w:spacing w:after="0" w:line="240" w:lineRule="auto"/>
        <w:ind w:left="4608"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«Об утверждении минимальных социальных</w:t>
      </w:r>
    </w:p>
    <w:p w14:paraId="156ED9BB">
      <w:pPr>
        <w:shd w:val="clear" w:color="auto" w:fill="FFFFFF"/>
        <w:spacing w:after="0" w:line="240" w:lineRule="auto"/>
        <w:ind w:left="4608"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стандартов в области культуры</w:t>
      </w:r>
    </w:p>
    <w:p w14:paraId="18A5D84F">
      <w:pPr>
        <w:shd w:val="clear" w:color="auto" w:fill="FFFFFF"/>
        <w:spacing w:after="0" w:line="240" w:lineRule="auto"/>
        <w:ind w:left="4608"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Приднестровской Молдавской Республики»</w:t>
      </w:r>
    </w:p>
    <w:p w14:paraId="1F8A41E7">
      <w:pPr>
        <w:shd w:val="clear" w:color="auto" w:fill="FFFFFF"/>
        <w:spacing w:after="0" w:line="240" w:lineRule="auto"/>
        <w:ind w:left="4608"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от 23 октября 2014 г. № 123</w:t>
      </w:r>
    </w:p>
    <w:p w14:paraId="702A587D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5D7A32BC">
      <w:pPr>
        <w:shd w:val="clear" w:color="auto" w:fill="FFFFFF"/>
        <w:spacing w:after="150" w:line="240" w:lineRule="auto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Минимальные социальные стандарты в области культуры Приднестровской Молдавской Республики</w:t>
      </w:r>
    </w:p>
    <w:p w14:paraId="22D16642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1AC4C854">
      <w:pPr>
        <w:shd w:val="clear" w:color="auto" w:fill="FFFFFF"/>
        <w:spacing w:after="150" w:line="240" w:lineRule="auto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1.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Государственные учреждения культуры и искусства</w:t>
      </w:r>
    </w:p>
    <w:p w14:paraId="2E76B4B2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tbl>
      <w:tblPr>
        <w:tblStyle w:val="3"/>
        <w:tblW w:w="10736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3751"/>
        <w:gridCol w:w="2551"/>
        <w:gridCol w:w="2888"/>
        <w:gridCol w:w="1036"/>
      </w:tblGrid>
      <w:tr w14:paraId="3F28CF1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1D0249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№</w:t>
            </w:r>
          </w:p>
        </w:tc>
        <w:tc>
          <w:tcPr>
            <w:tcW w:w="37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1176A1A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Населенный пункт</w:t>
            </w:r>
          </w:p>
        </w:tc>
        <w:tc>
          <w:tcPr>
            <w:tcW w:w="25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0192AECE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Тип (вид) учреждения</w:t>
            </w:r>
          </w:p>
        </w:tc>
        <w:tc>
          <w:tcPr>
            <w:tcW w:w="28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697C3AAE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Кол-во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D84773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Приме-</w:t>
            </w:r>
          </w:p>
          <w:p w14:paraId="3EBBC3A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чания</w:t>
            </w:r>
          </w:p>
        </w:tc>
      </w:tr>
      <w:tr w14:paraId="091E72F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48A1242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Кинотеатры</w:t>
            </w:r>
          </w:p>
        </w:tc>
      </w:tr>
      <w:tr w14:paraId="3C7B840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7B6A51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1.</w:t>
            </w:r>
          </w:p>
        </w:tc>
        <w:tc>
          <w:tcPr>
            <w:tcW w:w="37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3FA7D58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 - столица ПМР</w:t>
            </w:r>
          </w:p>
        </w:tc>
        <w:tc>
          <w:tcPr>
            <w:tcW w:w="25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5EEC3DB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Кинотеатр</w:t>
            </w:r>
          </w:p>
        </w:tc>
        <w:tc>
          <w:tcPr>
            <w:tcW w:w="28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072084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 на каждые 100 тыс. человек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6A847DE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7C6166B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7B6F9EC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Государственные театры</w:t>
            </w:r>
          </w:p>
        </w:tc>
      </w:tr>
      <w:tr w14:paraId="0FE162F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5F7B7FF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2.</w:t>
            </w:r>
          </w:p>
        </w:tc>
        <w:tc>
          <w:tcPr>
            <w:tcW w:w="37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656FEFD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 - столица ПМР</w:t>
            </w:r>
          </w:p>
        </w:tc>
        <w:tc>
          <w:tcPr>
            <w:tcW w:w="25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1AABF6E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Драматический (музыкально- драматический) театр</w:t>
            </w:r>
          </w:p>
        </w:tc>
        <w:tc>
          <w:tcPr>
            <w:tcW w:w="28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1A394D1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 на каждые 100 тыс. человек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3F0691D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2941AD3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49F796A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3.</w:t>
            </w:r>
          </w:p>
        </w:tc>
        <w:tc>
          <w:tcPr>
            <w:tcW w:w="37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4437CE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 - столица ПМР</w:t>
            </w:r>
          </w:p>
        </w:tc>
        <w:tc>
          <w:tcPr>
            <w:tcW w:w="25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09B4E58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Детский (кукольный) театр</w:t>
            </w:r>
          </w:p>
        </w:tc>
        <w:tc>
          <w:tcPr>
            <w:tcW w:w="28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4680E6A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 на каждые 100 тыс. человек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46794B7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2839843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3F82E73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Государственные концертные организации</w:t>
            </w:r>
          </w:p>
        </w:tc>
      </w:tr>
      <w:tr w14:paraId="1FF43FF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47A922D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4.</w:t>
            </w:r>
          </w:p>
        </w:tc>
        <w:tc>
          <w:tcPr>
            <w:tcW w:w="37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1F79BBF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 - столица ПМР</w:t>
            </w:r>
          </w:p>
        </w:tc>
        <w:tc>
          <w:tcPr>
            <w:tcW w:w="25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33F5A09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Дворец Республики</w:t>
            </w:r>
          </w:p>
        </w:tc>
        <w:tc>
          <w:tcPr>
            <w:tcW w:w="28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E59425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 на каждые 100 тыс. человек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7ED765F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63B1E5D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335CB70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Государственные музеи</w:t>
            </w:r>
          </w:p>
        </w:tc>
      </w:tr>
      <w:tr w14:paraId="290EEE4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07C86EE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5.</w:t>
            </w:r>
          </w:p>
        </w:tc>
        <w:tc>
          <w:tcPr>
            <w:tcW w:w="37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7E0CF0A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 - столица ПМР; городской населенный пункт (городское поселение) с населением свыше 100 тыс. человек</w:t>
            </w:r>
          </w:p>
        </w:tc>
        <w:tc>
          <w:tcPr>
            <w:tcW w:w="25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5068085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Государственный музей</w:t>
            </w:r>
          </w:p>
        </w:tc>
        <w:tc>
          <w:tcPr>
            <w:tcW w:w="28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D88CC6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1-2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0FCEF22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6A33FDA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736" w:type="dxa"/>
            <w:gridSpan w:val="5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38BF218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Государственные библиотеки</w:t>
            </w:r>
          </w:p>
        </w:tc>
      </w:tr>
      <w:tr w14:paraId="39AE596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0618F72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6.</w:t>
            </w:r>
          </w:p>
        </w:tc>
        <w:tc>
          <w:tcPr>
            <w:tcW w:w="37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32AD7D9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 - столица ПМР</w:t>
            </w:r>
          </w:p>
        </w:tc>
        <w:tc>
          <w:tcPr>
            <w:tcW w:w="255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01A255E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Приднестровская национальная библиотека</w:t>
            </w:r>
          </w:p>
        </w:tc>
        <w:tc>
          <w:tcPr>
            <w:tcW w:w="2888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5C27FB6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103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EFF2D0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</w:tbl>
    <w:p w14:paraId="36905C81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11E65D21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Государственные учреждения культуры и искусства создаются в населенных пунктах в целях обеспечения конституционного права граждан республики на свободный доступ к культурным ценностям, просвещения и воспитания на лучших образцах классического музыкального, фольклорного, хореографического, циркового и изобразительного искусства, классической и современной драматургии; популяризации профессионального искусства.</w:t>
      </w:r>
    </w:p>
    <w:p w14:paraId="22A431D8">
      <w:pPr>
        <w:shd w:val="clear" w:color="auto" w:fill="FFFFFF"/>
        <w:spacing w:after="150" w:line="240" w:lineRule="auto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2.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Библиотеки</w:t>
      </w:r>
    </w:p>
    <w:tbl>
      <w:tblPr>
        <w:tblStyle w:val="3"/>
        <w:tblW w:w="11048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84"/>
        <w:gridCol w:w="2076"/>
        <w:gridCol w:w="1966"/>
        <w:gridCol w:w="727"/>
        <w:gridCol w:w="2404"/>
        <w:gridCol w:w="3391"/>
      </w:tblGrid>
      <w:tr w14:paraId="04362E1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3B719D3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№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1BE277D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Населенный пункт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3EACAF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Тип (вид) учреждения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665F92F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Кол-во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6380AD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Условия размещения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064A32C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Примечание</w:t>
            </w:r>
          </w:p>
        </w:tc>
      </w:tr>
      <w:tr w14:paraId="00A2A6EE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E7F0BF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56F020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 - столица ПМР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726201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Приднестровская национальная библиотека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AF23F0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7A97BAC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D03CEF0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2A86F3B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E34F93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4FBB8BE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Городской (районный) населенный пункт (поселение)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FD7B4B4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Централизованная библиотечная система (далее - ЦБС)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C08D7A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88520AD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BDCF734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Юридическое лицо, объединяющее муниципальные публичные библиотеки в структурно-целостное образование с общим руководством, фондом, штатом сотрудников и финансированием, характеризующееся следующими аналитическими показателями деятельности: охват населения - не менее 30%; коэффициент посещаемости - не менее 5; коэффициент читаемости - не менее 18.</w:t>
            </w:r>
          </w:p>
        </w:tc>
      </w:tr>
      <w:tr w14:paraId="5EF8AFA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EEA440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B40007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Городской населенный пункт (городское 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8CDED19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Центральная библиотека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BE42C4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879C712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4CC1797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Головное подразделение ЦБС</w:t>
            </w:r>
          </w:p>
        </w:tc>
      </w:tr>
      <w:tr w14:paraId="5C7C40B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716EA0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C9D175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Городской населенный пункт (городское 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263179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Библиотека-филиал ЦБС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05B6D0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4BE3EB0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996CCE8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Библиотека-филиал - обособленное структурное подразделение ЦБС, работающее под руководством Центральной библиотеки</w:t>
            </w:r>
          </w:p>
        </w:tc>
      </w:tr>
      <w:tr w14:paraId="54CEF34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9317FB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5.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AE2EBB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B2FDA7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Библиотека-филиал ЦБС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A24334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94CD0E4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территории сельского совета открывается как минимум 1 публичная библиотека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0BC13F1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Библиотека-филиал - обособленное структурное подразделение ЦБС, работающее под руководством Централь ной библиотеки</w:t>
            </w:r>
          </w:p>
        </w:tc>
      </w:tr>
      <w:tr w14:paraId="4E2ED6E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D5B880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6.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9E4592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Городской населенный пункт (городское 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13B9BF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Библиотека-филиал ЦБС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458879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886832F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каждые 8 тыс. жителей в населенном пункте - одна библиотека (расстояние между однотипными библиотеками не более</w:t>
            </w:r>
          </w:p>
          <w:p w14:paraId="4F716382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 км)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04B0334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Библиотека-филиал - обособленное структурное подразделение ЦБС, работающее под руководством Центральной библиотеки</w:t>
            </w:r>
          </w:p>
        </w:tc>
      </w:tr>
      <w:tr w14:paraId="6117C6E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1A5955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7.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FE907D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Городской населенный пункт (городское 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BAE4BA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Детская специальная библиотека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DD4504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CD31723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каждые 2 тыс. жителей-детей до 15-ти лет - 1 библиотека</w:t>
            </w:r>
          </w:p>
          <w:p w14:paraId="1A715191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(расстояние между однотипным и библиотеками не более 2 км);</w:t>
            </w:r>
          </w:p>
          <w:p w14:paraId="695A02AE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до 2 тыс. жителей - детей до 15-ти лет создается детское отделение (сектор) при публичной библиотеке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125D97B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23D0CBCB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65F8CE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8.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7B6CFD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 с низкой плотностью населения (до 50 чел./км.кв.)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364B0E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 - филиал ЦБС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16384E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521374F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каждую от 500 до 1 тыс. жителей-одна библиотека (расстояние между однотипными библиотеками не более 2 км).</w:t>
            </w:r>
          </w:p>
          <w:p w14:paraId="0AF7A85E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территории сельского совета открывается как минимум 1 публичная библиотека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1A9B734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Библиотека-филиал - обособленное структурное подразделение ЦБС, работающее под руководством Центральной библиотеки</w:t>
            </w:r>
          </w:p>
        </w:tc>
      </w:tr>
      <w:tr w14:paraId="151F50D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920D35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9.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67FDFE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 с высокой плотностью населения (от 50 до 100 чел./км.кв.)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A05202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 - филиал ЦБС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787163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2B93443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каждые 2 тыс. жителей - одна библиотека (расстояние между однотипными библиотека ми не более 2 км).</w:t>
            </w:r>
          </w:p>
          <w:p w14:paraId="237C5473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территории сельского совета открывается как минимум 1 публичная библиотека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802B1EE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Библиотека-филиал - обособленное структурное подразделение ЦБС, работающее под руководством Центральной библиотеки</w:t>
            </w:r>
          </w:p>
        </w:tc>
      </w:tr>
      <w:tr w14:paraId="4D70F61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7F62764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10.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1B34D0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 с высокой плотностью населения (свыше 100 чел./км.кв.)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99B56B4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 - филиал ЦБС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11A658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97E0C08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каждые 4 тыс. жителей - одна библиотека (расстояние между однотипными библиотеками не более 2 км).</w:t>
            </w:r>
          </w:p>
          <w:p w14:paraId="33C3481E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территории сельского совета открывается как минимум 1 публичная библиотека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EED5AEA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Библиотека-филиал - обособленное структурное подразделение ЦБС, работающее под руководством Центральной библиотеки</w:t>
            </w:r>
          </w:p>
        </w:tc>
      </w:tr>
      <w:tr w14:paraId="0EC1812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658174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11.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CB766B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2C1D60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Детская специальная библиотека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2B6E19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A96A465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каждые 1,5-2 тыс. жителей - детей до 15-ти лет- 1 библиотека (расстояние между однотипными библиотеками не более 2 км);</w:t>
            </w:r>
          </w:p>
          <w:p w14:paraId="714F042D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до 1,5 тыс. жителей – детей до 15-ти лет -</w:t>
            </w:r>
          </w:p>
          <w:p w14:paraId="18A4D645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создается детское отделение (сектор) при публичной библиотеке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488B086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6FE45F08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6FED77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12.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69F324E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1943E6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Нестационарная форма обслуживания (в различных формах)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EE70F59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08A5981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 населенных пунктах с числом жителей до 500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1E80C07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территории каждого Сельского Совета создается как минимум 1 библиотека с охватом населения 30%.</w:t>
            </w:r>
          </w:p>
          <w:p w14:paraId="62962940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Обслуживание может быть организовано как головной Центральной библиотекой, так и библиотекой-филиалом соответствую щей ЦБС</w:t>
            </w:r>
          </w:p>
        </w:tc>
      </w:tr>
      <w:tr w14:paraId="33A67B5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4DAF6D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13.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78C1AB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Городской населенный пункт (городское 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157FD7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Специальная библиотека (специализирован-</w:t>
            </w:r>
          </w:p>
          <w:p w14:paraId="12D1A9D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ное подразделение (сектор) при публичной библиотеке)</w:t>
            </w: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BD7E53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D21174A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В населенных пунктах с числом жителей свыше 8 тыс.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6EBB0F1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Создается для обеспечения прав особых групп пользователей (юношество, люди с ограничениями в жизнедеятельности и т.д.)</w:t>
            </w:r>
          </w:p>
        </w:tc>
      </w:tr>
      <w:tr w14:paraId="2283487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8FFA09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14.</w:t>
            </w:r>
          </w:p>
        </w:tc>
        <w:tc>
          <w:tcPr>
            <w:tcW w:w="207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70F667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Городской населенный пункт (городское поселение),</w:t>
            </w:r>
          </w:p>
          <w:p w14:paraId="32CA3C7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</w:t>
            </w:r>
          </w:p>
        </w:tc>
        <w:tc>
          <w:tcPr>
            <w:tcW w:w="196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F92CAB9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</w:p>
        </w:tc>
        <w:tc>
          <w:tcPr>
            <w:tcW w:w="72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52E2D3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240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B62D695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 территории населенных пунктов, помимо публичных библиотек, могут функционировать библиотеки других систем и ведомств, частные, а также библиотеки, являющиеся структурными подразделениями организаций, учреждений предприятий</w:t>
            </w:r>
          </w:p>
        </w:tc>
        <w:tc>
          <w:tcPr>
            <w:tcW w:w="339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0FEAAA2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</w:tbl>
    <w:p w14:paraId="51D19E5F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0AC585EB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Для соблюдения социальной справедливости при организации библиотечного обслуживания учитывается все население территории Приднестровской Молдавской Республики.</w:t>
      </w:r>
    </w:p>
    <w:p w14:paraId="3CAC10C4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Библиотеки могут размещаться таким образом, чтобы создать оптимальные условия для доступа к информации каждого жителя, независимо от места проживания. Доступность может обеспечиваться стационарными и нестационарными формами библиотечно-информационного обслуживания.</w:t>
      </w:r>
    </w:p>
    <w:p w14:paraId="37A6F655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 организации сети публичных библиотек на территории населенного пункта учитываются следующие условия их размещения: доступность публичной библиотеки для всего населения, обеспечение ее удобного местоположения - в центре поселения (города, района, села, жилого квартала, микрорайона и другое), на пересечении пешеходных путей, вблизи транспортных сообщений, в наиболее посещаемых культурных, образовательных центрах с автономным входом-выходом для свободного доступа пользователей.</w:t>
      </w:r>
    </w:p>
    <w:p w14:paraId="4B150740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Центральная библиотека, центральная детская библиотека размещаются в центре населенного пункта.</w:t>
      </w:r>
    </w:p>
    <w:p w14:paraId="75D2BE22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 сельских населенных пунктах при организации библиотечно- информационного обслуживания учитывается численность и плотность населения, а также отдаленность и степень доступности населенных пунктов. Рекомендуемое расстояние от библиотеки до места жительства обслуживаемого населения - 2 км. Расчет количества библиотек для территории с малонаселенными пунктами производится с учетом принципа библиотечного районирования, когда в зону обслуживания библиотеки могут быть включены несколько малонаселенных пунктов, каждый из которых в отдельности не обязательно соответствует указанной норме, но в совокупности отвечает ей.</w:t>
      </w:r>
    </w:p>
    <w:p w14:paraId="3608281A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Удобное для населения нестационарное библиотечно-информационное обслуживание организуется органами местного самоуправления и публичной библиотекой для жителей населенных пунктов, где нет стационарных библиотек, или расстояние до ближайшей стационарной библиотеки более 3 км, посредством библиотечных пунктов, передвижных библиотек и других форм.</w:t>
      </w:r>
    </w:p>
    <w:p w14:paraId="2577B12B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Библиотечные пункты работают в зависимости от местных условий и количества пользователей по определенному расписанию в определенные дни и часы не реже 1 раза в неделю.</w:t>
      </w:r>
    </w:p>
    <w:p w14:paraId="65D41206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 расчете потребностей во внестационарных формах библиотечно-библиографического обслуживания учитывается количество жителей каждого населенного пункта, не имеющего стационарной библиотеки.</w:t>
      </w:r>
    </w:p>
    <w:p w14:paraId="646BF4E9">
      <w:pPr>
        <w:shd w:val="clear" w:color="auto" w:fill="FFFFFF"/>
        <w:spacing w:after="150" w:line="240" w:lineRule="auto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3.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Музеи</w:t>
      </w:r>
    </w:p>
    <w:p w14:paraId="099174AB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</w:p>
    <w:tbl>
      <w:tblPr>
        <w:tblStyle w:val="3"/>
        <w:tblW w:w="10888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4146"/>
        <w:gridCol w:w="2786"/>
        <w:gridCol w:w="809"/>
        <w:gridCol w:w="2607"/>
      </w:tblGrid>
      <w:tr w14:paraId="50F9342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2FA7BA44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771B138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Населенный пункт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7A0453B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Тип (вид) учреждения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448D972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Кол-во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5632515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Условия размещения</w:t>
            </w:r>
          </w:p>
        </w:tc>
      </w:tr>
      <w:tr w14:paraId="20103596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C22D77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39C913A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 - столица ПМР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740D58D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Учреждение музейного типа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779314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4-5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47F580B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771C5AE2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1182ED0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C98D9D6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Городской населенный пункт (городское поселение)</w:t>
            </w:r>
          </w:p>
          <w:p w14:paraId="04BB211A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 числом жителей: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080FBD6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Учреждение музейного типа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D55673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C009BF5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5B24C89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076FC73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4C3BE08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-до 10 тыс.;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43852C6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C6C084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1-2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4A2F35D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062EC6B9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0D98AB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9137564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-от 10 тыс.до 20 тыс.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16FE52D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17C31B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9ED4984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2693447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CFD95A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2212709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-от 20 тыс.до 50 тыс.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B99D8A9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1AB041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C8B7BE5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7AE292BC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F7B03B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90DB5D8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-от 50 тыс. и свыше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86029E5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9FA834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CC71EB9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198104D7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CE0602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DBDA55B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поселение), с числом жителей: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F39A885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C18273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6BC709D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2CE74D2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928A37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83E18B9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-до 10 тыс.;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E84D6DE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594B2A9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CA4503F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  <w:tr w14:paraId="37BDACCD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4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C387D3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4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F83DDBA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-от 10 тыс.до 30 тыс.</w:t>
            </w:r>
          </w:p>
        </w:tc>
        <w:tc>
          <w:tcPr>
            <w:tcW w:w="2786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DC0EEB4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  <w:tc>
          <w:tcPr>
            <w:tcW w:w="80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D46B80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</w:t>
            </w:r>
          </w:p>
        </w:tc>
        <w:tc>
          <w:tcPr>
            <w:tcW w:w="260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CA23ED8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 </w:t>
            </w:r>
          </w:p>
        </w:tc>
      </w:tr>
    </w:tbl>
    <w:p w14:paraId="401DB690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3EE5A1B4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Могут создаваться и действовать музеи, различающиеся по их целевому назначению и видовому составу фондов, а также по другим основаниям.</w:t>
      </w:r>
    </w:p>
    <w:p w14:paraId="5F262B1A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За сетевую единицу принимаются краеведческие и мемориальные музеи, музеи изобразительных искусств, исторические, технические, этнографические, литературные, воинской и трудовой славы и другие, являющиеся самостоятельными юридическими лицами, а также музеи-филиалы без образования юридического лица.</w:t>
      </w:r>
    </w:p>
    <w:p w14:paraId="0487F14C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Создание мемориальных музеев допускается в населенных пунктах муниципальных образований независимо от их статуса и числа жителей.</w:t>
      </w:r>
    </w:p>
    <w:p w14:paraId="5221E8B3">
      <w:pPr>
        <w:shd w:val="clear" w:color="auto" w:fill="FFFFFF"/>
        <w:spacing w:after="150" w:line="240" w:lineRule="auto"/>
        <w:ind w:firstLine="360"/>
        <w:jc w:val="center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>4.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Клубные учреждения</w:t>
      </w:r>
    </w:p>
    <w:tbl>
      <w:tblPr>
        <w:tblStyle w:val="3"/>
        <w:tblW w:w="11018" w:type="dxa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12"/>
        <w:gridCol w:w="2757"/>
        <w:gridCol w:w="4183"/>
        <w:gridCol w:w="1033"/>
        <w:gridCol w:w="2533"/>
      </w:tblGrid>
      <w:tr w14:paraId="65B63305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574C068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№</w:t>
            </w:r>
          </w:p>
        </w:tc>
        <w:tc>
          <w:tcPr>
            <w:tcW w:w="27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0E13A1B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Населенный пункт</w:t>
            </w:r>
          </w:p>
        </w:tc>
        <w:tc>
          <w:tcPr>
            <w:tcW w:w="41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6B7F591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Тип (вид) учреждения</w:t>
            </w:r>
          </w:p>
        </w:tc>
        <w:tc>
          <w:tcPr>
            <w:tcW w:w="10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31F2B38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Кол-во</w:t>
            </w:r>
          </w:p>
          <w:p w14:paraId="167A0D3D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25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  <w:vAlign w:val="center"/>
          </w:tcPr>
          <w:p w14:paraId="66264047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Условия размещения</w:t>
            </w:r>
          </w:p>
        </w:tc>
      </w:tr>
      <w:tr w14:paraId="375AD3E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C2D8AD5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1.</w:t>
            </w:r>
          </w:p>
        </w:tc>
        <w:tc>
          <w:tcPr>
            <w:tcW w:w="27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60824CC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Городской населенный пункт (городское поселение)</w:t>
            </w:r>
          </w:p>
        </w:tc>
        <w:tc>
          <w:tcPr>
            <w:tcW w:w="41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1B35ABDF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Дворец культуры,</w:t>
            </w:r>
          </w:p>
          <w:p w14:paraId="19D84B09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Дворец культуры и спорта, Культурно-досуговый центр,</w:t>
            </w:r>
          </w:p>
          <w:p w14:paraId="46EDD4D2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Молодежный центр,</w:t>
            </w:r>
          </w:p>
          <w:p w14:paraId="789FC72C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Детский центр,</w:t>
            </w:r>
          </w:p>
          <w:p w14:paraId="3239D170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Культурный комплекс,</w:t>
            </w:r>
          </w:p>
          <w:p w14:paraId="14641170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Социально- культурный комплекс,</w:t>
            </w:r>
          </w:p>
          <w:p w14:paraId="133519EA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Культурно-образовательный комплекс,</w:t>
            </w:r>
          </w:p>
          <w:p w14:paraId="391BA59A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Культурно-спортивный комплекс,</w:t>
            </w:r>
          </w:p>
          <w:p w14:paraId="4F2BF09D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Центральный Дом культуры, Дом культуры, Дом народных традиций и ремесел,</w:t>
            </w:r>
          </w:p>
          <w:p w14:paraId="05AAC36F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Молодежный клуб, клуб «Ветеран», автоклуб</w:t>
            </w:r>
          </w:p>
        </w:tc>
        <w:tc>
          <w:tcPr>
            <w:tcW w:w="10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26797CB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2-6</w:t>
            </w:r>
          </w:p>
        </w:tc>
        <w:tc>
          <w:tcPr>
            <w:tcW w:w="25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02EB89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Специально построенные либо приспособленные здания</w:t>
            </w:r>
          </w:p>
        </w:tc>
      </w:tr>
      <w:tr w14:paraId="224FDCF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8EF6C16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2.</w:t>
            </w:r>
          </w:p>
        </w:tc>
        <w:tc>
          <w:tcPr>
            <w:tcW w:w="27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F5A5F91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 с численностью населения до 300 чел.</w:t>
            </w:r>
          </w:p>
        </w:tc>
        <w:tc>
          <w:tcPr>
            <w:tcW w:w="41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7481F1C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Клуб</w:t>
            </w:r>
          </w:p>
        </w:tc>
        <w:tc>
          <w:tcPr>
            <w:tcW w:w="10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14BE3B4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AD76AE1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Специально построенные либо приспособленные здания</w:t>
            </w:r>
          </w:p>
        </w:tc>
      </w:tr>
      <w:tr w14:paraId="3C73BCB0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87CDC8A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3.</w:t>
            </w:r>
          </w:p>
        </w:tc>
        <w:tc>
          <w:tcPr>
            <w:tcW w:w="27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8FE8B03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 с численностью населения от 300 до 500 чел.</w:t>
            </w:r>
          </w:p>
        </w:tc>
        <w:tc>
          <w:tcPr>
            <w:tcW w:w="41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4031E3B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Дом культуры,</w:t>
            </w:r>
          </w:p>
          <w:p w14:paraId="530D369A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Дом народных традиций и ремесел,</w:t>
            </w:r>
          </w:p>
          <w:p w14:paraId="21C37E67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Клуб</w:t>
            </w:r>
          </w:p>
        </w:tc>
        <w:tc>
          <w:tcPr>
            <w:tcW w:w="10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39504AF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45D4EDCF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Специально построенные либо приспособленные здания</w:t>
            </w:r>
          </w:p>
        </w:tc>
      </w:tr>
      <w:tr w14:paraId="66EF33BF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1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092CE4BC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4.</w:t>
            </w:r>
          </w:p>
        </w:tc>
        <w:tc>
          <w:tcPr>
            <w:tcW w:w="275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59E714F3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Сельский населенный пункт (сельское поселение) с численностью населения от 500 чел. и выше</w:t>
            </w:r>
          </w:p>
        </w:tc>
        <w:tc>
          <w:tcPr>
            <w:tcW w:w="418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2B1A620A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Культурный комплекс, Социально- культурный комплекс,</w:t>
            </w:r>
          </w:p>
          <w:p w14:paraId="13FFC384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Культурно-образовательный комплекс,</w:t>
            </w:r>
          </w:p>
          <w:p w14:paraId="537DA89E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Культурно-спортивный комплекс,</w:t>
            </w:r>
          </w:p>
          <w:p w14:paraId="0AB8929E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Центральный Дом культуры, Дом культуры, Дом народных традиций и ремесел, Клуб,</w:t>
            </w:r>
          </w:p>
          <w:p w14:paraId="41580684">
            <w:pPr>
              <w:spacing w:after="150" w:line="240" w:lineRule="auto"/>
              <w:rPr>
                <w:rFonts w:ascii="Times New Roman" w:hAnsi="Times New Roman" w:eastAsia="Times New Roman" w:cs="Times New Roman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>Молодежный клуб, клуб «Ветеран», автоклуб</w:t>
            </w:r>
          </w:p>
        </w:tc>
        <w:tc>
          <w:tcPr>
            <w:tcW w:w="10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75910058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253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noWrap/>
          </w:tcPr>
          <w:p w14:paraId="67E58252">
            <w:pPr>
              <w:spacing w:after="15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Специально построенные либо приспособленные здания</w:t>
            </w:r>
          </w:p>
        </w:tc>
      </w:tr>
    </w:tbl>
    <w:p w14:paraId="04890A16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3405729F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Минимальные социальные стандарты устанавливаются для клубных учреждений, находящихся в ведении муниципальных управлений культуры и финансируемых за счет муниципального бюджета.</w:t>
      </w:r>
    </w:p>
    <w:p w14:paraId="5960F891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За сетевую единицу принимается один из видов клубных учреждений.</w:t>
      </w:r>
    </w:p>
    <w:p w14:paraId="3A34C2EB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Клубные учреждения размещаются в населенных пунктах республики с учетом необходимости создания соответствующих условий для реализации конституционных прав граждан различных категорий и групп населения республики на отдых, самообразование, на равный доступ к культурным ценностям, на свободу творчества, а также необходимости повышения социально-культурного статуса населенных пунктов сельской местности, для достижения высокого качества обслуживания населения.</w:t>
      </w:r>
    </w:p>
    <w:p w14:paraId="4F12DCBD">
      <w:pPr>
        <w:shd w:val="clear" w:color="auto" w:fill="FFFFFF"/>
        <w:spacing w:after="150" w:line="240" w:lineRule="auto"/>
        <w:ind w:firstLine="360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При размещении клубных учреждений учитываются следующие условия: численность и плотность населения; отдаленность и степень доступности населенных пунктов; обеспечение их удобного местоположения - в центре поселения (города, района, села, жилого квартала, микрорайона), вблизи транспортных сообщений; доступность для всех категорий населения.</w:t>
      </w:r>
    </w:p>
    <w:p w14:paraId="6C8A75F9">
      <w:pPr>
        <w:shd w:val="clear" w:color="auto" w:fill="FFFFFF"/>
        <w:spacing w:after="150" w:line="240" w:lineRule="auto"/>
        <w:ind w:firstLine="36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 </w:t>
      </w:r>
    </w:p>
    <w:p w14:paraId="0537A695">
      <w:pPr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284" w:right="424" w:bottom="568" w:left="709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6A7"/>
    <w:rsid w:val="002A6F37"/>
    <w:rsid w:val="004E077A"/>
    <w:rsid w:val="005C5856"/>
    <w:rsid w:val="0062383E"/>
    <w:rsid w:val="00997C57"/>
    <w:rsid w:val="009A2FA0"/>
    <w:rsid w:val="00A6756B"/>
    <w:rsid w:val="00AE46A7"/>
    <w:rsid w:val="00C51B85"/>
    <w:rsid w:val="00D72D9C"/>
    <w:rsid w:val="00E16938"/>
    <w:rsid w:val="2550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B2BCCA-38B8-455C-9EB3-C226AE0A19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Windows</Company>
  <Pages>7</Pages>
  <Words>2265</Words>
  <Characters>12911</Characters>
  <Lines>107</Lines>
  <Paragraphs>30</Paragraphs>
  <TotalTime>3</TotalTime>
  <ScaleCrop>false</ScaleCrop>
  <LinksUpToDate>false</LinksUpToDate>
  <CharactersWithSpaces>15146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2019-08-05T12:32:00Z</dcterms:created>
  <dc:creator>Матош</dc:creator>
  <cp:lastModifiedBy>Pressa</cp:lastModifiedBy>
  <dcterms:modified xsi:type="dcterms:W3CDTF">2024-06-10T08:04:41Z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699EBF3DDA7A49FAB845FE699B8474D9_13</vt:lpwstr>
  </property>
</Properties>
</file>